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甘残联发〔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</w:p>
    <w:p>
      <w:pPr>
        <w:adjustRightInd w:val="0"/>
        <w:snapToGrid w:val="0"/>
        <w:spacing w:line="720" w:lineRule="exact"/>
        <w:jc w:val="center"/>
        <w:rPr>
          <w:rFonts w:hint="eastAsia" w:ascii="方正小标宋简体" w:hAnsi="黑体" w:eastAsia="方正小标宋简体"/>
          <w:bCs/>
          <w:kern w:val="36"/>
          <w:sz w:val="44"/>
          <w:szCs w:val="44"/>
        </w:rPr>
      </w:pPr>
    </w:p>
    <w:p>
      <w:pPr>
        <w:adjustRightInd w:val="0"/>
        <w:snapToGrid w:val="0"/>
        <w:spacing w:line="720" w:lineRule="exact"/>
        <w:jc w:val="center"/>
        <w:rPr>
          <w:rFonts w:ascii="方正小标宋简体" w:hAnsi="黑体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Cs/>
          <w:kern w:val="36"/>
          <w:sz w:val="44"/>
          <w:szCs w:val="44"/>
        </w:rPr>
        <w:t>关于印发《2022年甘肃省残疾人事业发展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黑体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Cs/>
          <w:kern w:val="36"/>
          <w:sz w:val="44"/>
          <w:szCs w:val="44"/>
        </w:rPr>
        <w:t>统计公报》的通知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/>
        <w:jc w:val="center"/>
        <w:textAlignment w:val="auto"/>
        <w:rPr>
          <w:rFonts w:ascii="黑体" w:hAnsi="黑体" w:eastAsia="黑体" w:cs="Times New Roman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right="0"/>
        <w:textAlignment w:val="auto"/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各市州及甘肃矿区残联、兰州新区民政和社会保障局，省残联机关各部门、各直属单位：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right="0" w:firstLine="645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根据2022年度全省残联系统统计调查结果，省残联编写了</w:t>
      </w:r>
      <w:r>
        <w:rPr>
          <w:rFonts w:hint="eastAsia" w:ascii="仿宋_GB2312" w:hAnsi="仿宋_GB2312" w:eastAsia="仿宋_GB2312" w:cs="仿宋_GB2312"/>
          <w:bCs/>
          <w:spacing w:val="-11"/>
          <w:kern w:val="36"/>
          <w:sz w:val="32"/>
          <w:szCs w:val="32"/>
        </w:rPr>
        <w:t>《2022年甘肃省残疾人事业发展统计公报》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，现印发你们，供参阅。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right="0" w:firstLine="960" w:firstLineChars="3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甘肃省残疾人联合会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right="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4月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2022年甘肃省残疾人事业发展统计公报</w:t>
      </w:r>
    </w:p>
    <w:p>
      <w:pPr>
        <w:ind w:firstLine="640" w:firstLineChars="200"/>
        <w:rPr>
          <w:rFonts w:ascii="方正仿宋" w:eastAsia="方正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2022年，全省残疾人工作以习近平新时代中国特色社会主义思想为指导，全面贯彻党的二十大精神、省第十四次党代会精神，认真贯彻落实习近平总书记对甘肃重要讲话重要指示批示精神、关于残疾人工作的重要论述，坚持系统思维，坚持稳中求进工作总基调，完整、准确、全面贯彻新发展理念，深入实施《甘肃省“十四五”残疾人保障和发</w:t>
      </w:r>
      <w:r>
        <w:rPr>
          <w:rFonts w:hint="eastAsia" w:ascii="仿宋_GB2312" w:hAnsi="仿宋_GB2312" w:eastAsia="仿宋_GB2312" w:cs="仿宋_GB2312"/>
          <w:sz w:val="32"/>
          <w:szCs w:val="32"/>
        </w:rPr>
        <w:t>展规划》，更好统筹发展和安全，全面推进残疾人事业高质量发展。</w:t>
      </w:r>
    </w:p>
    <w:p>
      <w:pPr>
        <w:ind w:firstLine="640" w:firstLineChars="200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一、康复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残疾人康复服务水平不断提升。残疾人精准康复服务行动目标任务圆满完成，13.3万持证残疾人及残疾儿童得到基本康复服务，其中0-6岁残疾儿童0.6万人。得到康复服务的人中有视力残疾人1.3万、听力残疾人1.3万、言语残疾人0.06万、肢体残疾人6.6万、智力残疾人0.9万、精神残疾人1.5万、多重残疾人1.2万。4.6万残疾人得到各类基本辅助器具适配服务。（见图1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单位：人</w:t>
      </w:r>
    </w:p>
    <w:p>
      <w:pPr>
        <w:jc w:val="both"/>
        <w:rPr>
          <w:rFonts w:ascii="方正仿宋" w:eastAsia="方正仿宋"/>
          <w:sz w:val="32"/>
          <w:szCs w:val="32"/>
        </w:rPr>
      </w:pPr>
      <w:bookmarkStart w:id="0" w:name="_1681197420"/>
      <w:bookmarkEnd w:id="0"/>
      <w:r>
        <w:rPr>
          <w:rFonts w:hint="eastAsia" w:ascii="方正仿宋" w:eastAsia="方正仿宋"/>
          <w:sz w:val="32"/>
          <w:szCs w:val="32"/>
        </w:rPr>
        <w:drawing>
          <wp:inline distT="0" distB="0" distL="0" distR="0">
            <wp:extent cx="5579110" cy="2552700"/>
            <wp:effectExtent l="4445" t="4445" r="1714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图1 全省各类别残疾人得到基本康复服务情况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残疾人康复机构与人才队伍建设，深化社区康复工作，实施全国残联系统康复专业技术人员规范化培训。截至2022年底，全省共有残疾人康复机构209个，其中残联办72个、卫生办70个、民政办8个、教育办3个、民办43个、其他8个。全省康复机构在岗人员4423人，其中，管理人员521人、业务人员3439人、其他人员463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二、教育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2022年全省共有特殊教育普通高中班（部）1个。在校生165人，毕业生27人。残疾人中等职业学校（班）2个，在校生336人，毕业生71人，有424名被普通高等院校录取。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三、就业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2022年底，全省城乡持证残疾人就业人数为26.4万人，其中按比例就业0.7万人，集中就业0.2万人，个体就业1.5万人，公益性岗位就业0.3万人，辅助性就业0.3万人，灵活就业（含社区、居家就业）7.3万人，从事农业种养加16.2万人。（见图2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单位：人</w:t>
      </w:r>
    </w:p>
    <w:p>
      <w:pPr>
        <w:jc w:val="center"/>
        <w:rPr>
          <w:rFonts w:ascii="方正仿宋" w:eastAsia="方正仿宋"/>
          <w:sz w:val="32"/>
          <w:szCs w:val="32"/>
        </w:rPr>
      </w:pPr>
      <w:bookmarkStart w:id="1" w:name="_GoBack"/>
      <w:r>
        <w:rPr>
          <w:rFonts w:hint="eastAsia" w:ascii="方正仿宋" w:eastAsia="方正仿宋"/>
          <w:sz w:val="32"/>
          <w:szCs w:val="32"/>
        </w:rPr>
        <w:drawing>
          <wp:inline distT="0" distB="0" distL="0" distR="0">
            <wp:extent cx="5561965" cy="2886075"/>
            <wp:effectExtent l="4445" t="4445" r="1524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1"/>
      <w:r>
        <w:rPr>
          <w:rFonts w:hint="eastAsia" w:ascii="方正仿宋" w:eastAsia="方正仿宋"/>
          <w:b/>
          <w:sz w:val="32"/>
          <w:szCs w:val="32"/>
        </w:rPr>
        <w:t>图2  全省城乡持证残疾人就业情况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盲人按摩事业稳步发展，全年培训盲人保健按摩402名，盲人医疗按摩190名；保健按摩机构达400个，医疗按摩机构达40个。</w:t>
      </w:r>
    </w:p>
    <w:p>
      <w:pPr>
        <w:ind w:firstLine="640" w:firstLineChars="200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四、社会保障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截至2022年底，全省残疾居民参加城乡社会养老保险人数96.5万； 22.1万人享受参保个人缴费资助政策，占比95.5 %。41万残疾人领取养老金。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残疾人托养服务工作稳步推进，残疾人托养服务机构162个，为5823名残疾人提供托养服务。1万残疾人接受居家服务。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五、宣传文化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以“促进残疾人就业，保障残疾人权益”为主题，组织第三十二次“全国助残日”活动。策划拍摄的微电影《生活的冠军》在全省第六届践行社会主义核心价值观“强国复兴有我”主题微电影创作展播活动中荣获一等奖。我省盲人歌手王春焱、“全国自强模范”任宝仓、残奥健儿李甜甜在北京冬残奥会开幕式、火炬接力、赛场上展现甘肃残疾人风采。选树宣传自强典型和助残先进50余人次，推荐4名优秀残疾人当选年度“陇人骄子”及候选人、“中国残疾人事业新闻人物、助残新闻人物”提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名奖，我省3件作品在第十六届残疾人事业好新闻评选活动中获奖，我省选送的6个节目在第十届全国残疾人文艺汇演中全部获奖。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2022年底组织播出省、市（州）残疾人专题广播节目24个、电视手语栏目11个，省、市（州）、县（市、区）三级公共图书馆共设立盲文及盲文有声读物阅览室58个，全省共开展残疾人文化季活动284场次，省市残联共举办残疾人文化艺术类的比赛及展览17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六、体育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残疾人体育活动丰富活跃。成功举办省第十一届残运会暨第五届特奥会，省特奥会共有12个代表队195 名运动员参赛。产生金牌278枚、银牌179枚、铜牌 116枚；省残运会共有11 个代表队516名运动员参赛，产生金牌281 枚、银牌246枚、铜牌179枚，打破32 项全省残运会纪录。全省组织开展残疾人群体活动246次，参加人数1.8万人次。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七、维权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定或修改关于残疾人的专门法规、规章1个，制定或修改保障残疾人权益的规范性文件20个。全省县级以上人大常委会开展《中华人民共和国残疾人保障法》执法检查和专题调研16次；政协开展视察和专题调研11次。全省开展普法宣传教育活动4次,4100余人次参加；举办省级法律培训班3个，18000人次参加。全省残联协助人大代表、政协委员提出议案、建议、提案5件，办理议案、建议、提案13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省市县三级无障碍环境建设与管理法规、政府令和规范性文件共出台47个；68个市（州）、县（市、区）开展无障碍环境建设；开展无障碍环境建设检查56次，组织无障碍环境建设工作培训1343人次。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八、组织建设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全省市（州）、县（市、区）全部建立残联。乡镇（街道）已建立残联1362个，已建立社区（村）残协1.7万个。省市县乡残联工作人员达4432人，乡镇（街道）、村（社区）选聘残疾人专职委员1.6万人。14个市州残联全部配备了残疾人领导干部，77个县级残联配备了残疾人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共建立各类残疾人专门协会512个，其中省级专门协会5个，市级专门协会77个，县级专门协会430个。助残社会组织46个。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九、服务设施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底，已竣工的综合服务设施93个，总建筑面积12.3万平方米，总投资3亿元；已竣工的各级残疾人康复设施40个，总建设规模22.2万平方米，总投资6亿元；已竣工的各级残疾人托养服务设施41个，总建设规模10.6万平方米，总投资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960" w:firstLineChars="3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960" w:firstLineChars="3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960" w:firstLineChars="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甘肃省残疾人联合会</w:t>
      </w:r>
    </w:p>
    <w:p>
      <w:pPr>
        <w:ind w:right="640" w:firstLine="960" w:firstLineChars="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2023年4月</w:t>
      </w:r>
    </w:p>
    <w:p>
      <w:pPr>
        <w:ind w:firstLine="960" w:firstLineChars="300"/>
        <w:jc w:val="right"/>
        <w:rPr>
          <w:rFonts w:ascii="方正仿宋" w:eastAsia="方正仿宋"/>
          <w:sz w:val="32"/>
          <w:szCs w:val="32"/>
        </w:rPr>
      </w:pPr>
    </w:p>
    <w:p>
      <w:pPr>
        <w:ind w:firstLine="960" w:firstLineChars="300"/>
        <w:jc w:val="right"/>
        <w:rPr>
          <w:rFonts w:ascii="方正仿宋" w:eastAsia="方正仿宋"/>
          <w:sz w:val="32"/>
          <w:szCs w:val="32"/>
        </w:rPr>
      </w:pPr>
    </w:p>
    <w:p>
      <w:pPr>
        <w:ind w:firstLine="960" w:firstLineChars="300"/>
        <w:jc w:val="right"/>
        <w:rPr>
          <w:rFonts w:ascii="方正仿宋" w:eastAsia="方正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rPr>
          <w:rFonts w:ascii="方正仿宋" w:eastAsia="方正仿宋"/>
          <w:sz w:val="32"/>
          <w:szCs w:val="32"/>
        </w:rPr>
      </w:pPr>
    </w:p>
    <w:p>
      <w:pPr>
        <w:pStyle w:val="2"/>
        <w:rPr>
          <w:rFonts w:ascii="方正仿宋" w:eastAsia="方正仿宋"/>
          <w:sz w:val="32"/>
          <w:szCs w:val="32"/>
        </w:rPr>
      </w:pPr>
    </w:p>
    <w:p>
      <w:pPr>
        <w:rPr>
          <w:rFonts w:ascii="方正仿宋" w:eastAsia="方正仿宋"/>
          <w:sz w:val="32"/>
          <w:szCs w:val="32"/>
        </w:rPr>
      </w:pPr>
    </w:p>
    <w:p>
      <w:pPr>
        <w:pStyle w:val="2"/>
        <w:rPr>
          <w:rFonts w:ascii="方正仿宋" w:eastAsia="方正仿宋"/>
          <w:sz w:val="32"/>
          <w:szCs w:val="32"/>
        </w:rPr>
      </w:pPr>
    </w:p>
    <w:p>
      <w:pPr>
        <w:rPr>
          <w:rFonts w:ascii="方正仿宋" w:eastAsia="方正仿宋"/>
          <w:sz w:val="32"/>
          <w:szCs w:val="32"/>
        </w:rPr>
      </w:pPr>
    </w:p>
    <w:p>
      <w:pPr>
        <w:pStyle w:val="2"/>
        <w:rPr>
          <w:rFonts w:ascii="方正仿宋" w:eastAsia="方正仿宋"/>
          <w:sz w:val="32"/>
          <w:szCs w:val="32"/>
        </w:rPr>
      </w:pPr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" w:eastAsia="方正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省残联办公室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headerReference r:id="rId3" w:type="default"/>
      <w:footerReference r:id="rId4" w:type="default"/>
      <w:pgSz w:w="11906" w:h="16838"/>
      <w:pgMar w:top="2098" w:right="1555" w:bottom="1984" w:left="1531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书体坊王学勤钢笔行书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书体坊王学勤钢笔行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04570" cy="2247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0457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7pt;width:79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FgAAAGRy&#10;cy9QSwECFAAUAAAACACHTuJAEs6HetUAAAAHAQAADwAAAAAAAAABACAAAAA4AAAAZHJzL2Rvd25y&#10;ZXYueG1sUEsBAhQAFAAAAAgAh07iQEFCJmLPAgAA7QUAAA4AAAAAAAAAAQAgAAAAOg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3"/>
    <w:rsid w:val="00017ACD"/>
    <w:rsid w:val="000936D3"/>
    <w:rsid w:val="000D53B0"/>
    <w:rsid w:val="000E0184"/>
    <w:rsid w:val="00125059"/>
    <w:rsid w:val="00132776"/>
    <w:rsid w:val="001336ED"/>
    <w:rsid w:val="00187B38"/>
    <w:rsid w:val="00254136"/>
    <w:rsid w:val="002555FA"/>
    <w:rsid w:val="00276CB7"/>
    <w:rsid w:val="00277E40"/>
    <w:rsid w:val="002C1DBE"/>
    <w:rsid w:val="002C5731"/>
    <w:rsid w:val="0030251C"/>
    <w:rsid w:val="00363F2E"/>
    <w:rsid w:val="00397B81"/>
    <w:rsid w:val="003C0F0B"/>
    <w:rsid w:val="003D2DC3"/>
    <w:rsid w:val="003E3E13"/>
    <w:rsid w:val="003F5A5D"/>
    <w:rsid w:val="00410B30"/>
    <w:rsid w:val="0042593A"/>
    <w:rsid w:val="00446844"/>
    <w:rsid w:val="004623B1"/>
    <w:rsid w:val="004F3CAA"/>
    <w:rsid w:val="00515BDD"/>
    <w:rsid w:val="005843DA"/>
    <w:rsid w:val="00586A22"/>
    <w:rsid w:val="00597831"/>
    <w:rsid w:val="005B065E"/>
    <w:rsid w:val="005B3A6B"/>
    <w:rsid w:val="005C3367"/>
    <w:rsid w:val="005F5227"/>
    <w:rsid w:val="005F5A71"/>
    <w:rsid w:val="00666DE3"/>
    <w:rsid w:val="00682FD5"/>
    <w:rsid w:val="00690C6F"/>
    <w:rsid w:val="00692E34"/>
    <w:rsid w:val="0069772F"/>
    <w:rsid w:val="006B539A"/>
    <w:rsid w:val="0070059E"/>
    <w:rsid w:val="00702AAB"/>
    <w:rsid w:val="0070594E"/>
    <w:rsid w:val="00747A48"/>
    <w:rsid w:val="007849C2"/>
    <w:rsid w:val="007951B8"/>
    <w:rsid w:val="00796E8C"/>
    <w:rsid w:val="007D1A3B"/>
    <w:rsid w:val="0082673A"/>
    <w:rsid w:val="008661DD"/>
    <w:rsid w:val="008A3DD3"/>
    <w:rsid w:val="008B0B7D"/>
    <w:rsid w:val="008B20E3"/>
    <w:rsid w:val="008D7039"/>
    <w:rsid w:val="009009E2"/>
    <w:rsid w:val="00911B96"/>
    <w:rsid w:val="009207E8"/>
    <w:rsid w:val="009867ED"/>
    <w:rsid w:val="009936C8"/>
    <w:rsid w:val="009C0993"/>
    <w:rsid w:val="009C78C3"/>
    <w:rsid w:val="00A0294C"/>
    <w:rsid w:val="00A205EE"/>
    <w:rsid w:val="00A246CC"/>
    <w:rsid w:val="00A44A5C"/>
    <w:rsid w:val="00A5080A"/>
    <w:rsid w:val="00A56387"/>
    <w:rsid w:val="00A94ADA"/>
    <w:rsid w:val="00AA21A8"/>
    <w:rsid w:val="00B11796"/>
    <w:rsid w:val="00B22048"/>
    <w:rsid w:val="00B80C1E"/>
    <w:rsid w:val="00B93527"/>
    <w:rsid w:val="00C447B1"/>
    <w:rsid w:val="00C65741"/>
    <w:rsid w:val="00C85C64"/>
    <w:rsid w:val="00C91C5C"/>
    <w:rsid w:val="00CC4801"/>
    <w:rsid w:val="00CD2D53"/>
    <w:rsid w:val="00D07E58"/>
    <w:rsid w:val="00DA722A"/>
    <w:rsid w:val="00DE6267"/>
    <w:rsid w:val="00DF2CFE"/>
    <w:rsid w:val="00E1698B"/>
    <w:rsid w:val="00E650B7"/>
    <w:rsid w:val="00E938B0"/>
    <w:rsid w:val="00EC5127"/>
    <w:rsid w:val="00EF32E3"/>
    <w:rsid w:val="00F11804"/>
    <w:rsid w:val="00F21818"/>
    <w:rsid w:val="00F22808"/>
    <w:rsid w:val="00F572AD"/>
    <w:rsid w:val="00F653D0"/>
    <w:rsid w:val="00F65859"/>
    <w:rsid w:val="00FC2DD7"/>
    <w:rsid w:val="00FE4577"/>
    <w:rsid w:val="4F7F14FD"/>
    <w:rsid w:val="6BF6AC56"/>
    <w:rsid w:val="755FAF81"/>
    <w:rsid w:val="7FFAA23B"/>
    <w:rsid w:val="7FFAB0F1"/>
    <w:rsid w:val="FEFD3868"/>
    <w:rsid w:val="FF7F40AF"/>
    <w:rsid w:val="FF7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next w:val="1"/>
    <w:qFormat/>
    <w:uiPriority w:val="9"/>
    <w:pPr>
      <w:keepNext/>
      <w:keepLines/>
      <w:widowControl w:val="0"/>
      <w:suppressAutoHyphens/>
      <w:bidi w:val="0"/>
      <w:spacing w:line="319" w:lineRule="auto"/>
      <w:jc w:val="both"/>
      <w:outlineLvl w:val="5"/>
    </w:pPr>
    <w:rPr>
      <w:rFonts w:ascii="Cambria" w:hAnsi="Cambria" w:eastAsia="宋体" w:cs="Times New Roman"/>
      <w:color w:val="auto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true"/>
    <c:plotArea>
      <c:layout>
        <c:manualLayout>
          <c:layoutTarget val="inner"/>
          <c:xMode val="edge"/>
          <c:yMode val="edge"/>
          <c:x val="0.101008298818139"/>
          <c:y val="0.0531400966183575"/>
          <c:w val="0.875870313898624"/>
          <c:h val="0.615679561793906"/>
        </c:manualLayout>
      </c:layout>
      <c:barChart>
        <c:barDir val="col"/>
        <c:grouping val="stack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rgbClr val="4472C4"/>
            </a:solidFill>
            <a:ln w="24432">
              <a:noFill/>
            </a:ln>
          </c:spPr>
          <c:invertIfNegative val="false"/>
          <c:dLbls>
            <c:dLbl>
              <c:idx val="0"/>
              <c:layout>
                <c:manualLayout>
                  <c:x val="0"/>
                  <c:y val="-0.10144927536231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true"/>
                  <a:lstStyle/>
                  <a:p>
                    <a:pPr>
                      <a:defRPr lang="zh-CN" sz="865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13107</a:t>
                    </a:r>
                    <a:endParaRPr lang="en-US" altLang="en-US"/>
                  </a:p>
                </c:rich>
              </c:tx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513808606294151"/>
                  <c:y val="-0.10144927536231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true"/>
                  <a:lstStyle/>
                  <a:p>
                    <a:pPr>
                      <a:defRPr lang="zh-CN" sz="865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13097</a:t>
                    </a:r>
                    <a:endParaRPr lang="en-US" altLang="en-US"/>
                  </a:p>
                </c:rich>
              </c:tx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719424460431655"/>
                  <c:y val="-0.02415458937198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true"/>
                  <a:lstStyle/>
                  <a:p>
                    <a:pPr>
                      <a:defRPr lang="zh-CN" sz="865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525</a:t>
                    </a:r>
                    <a:endParaRPr lang="en-US" altLang="en-US"/>
                  </a:p>
                </c:rich>
              </c:tx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79286405158215e-17"/>
                  <c:y val="-0.3069968673270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true">
                    <a:noAutofit/>
                  </a:bodyPr>
                  <a:lstStyle/>
                  <a:p>
                    <a:pPr>
                      <a:defRPr lang="zh-CN" sz="865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66274</a:t>
                    </a:r>
                    <a:endParaRPr lang="en-US" altLang="en-US"/>
                  </a:p>
                </c:rich>
              </c:tx>
              <c:numFmt formatCode="General" sourceLinked="true"/>
              <c:spPr>
                <a:noFill/>
                <a:ln w="24432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true">
                  <a:noAutofit/>
                </a:bodyPr>
                <a:lstStyle/>
                <a:p>
                  <a:pPr>
                    <a:defRPr lang="zh-CN" sz="86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41971563136739e-17"/>
                  <c:y val="-0.09178743961352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true"/>
                  <a:lstStyle/>
                  <a:p>
                    <a:pPr>
                      <a:defRPr lang="zh-CN" sz="865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8738</a:t>
                    </a:r>
                    <a:endParaRPr lang="en-US" altLang="en-US"/>
                  </a:p>
                </c:rich>
              </c:tx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770712909441243"/>
                  <c:y val="-0.096618357487922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true"/>
                  <a:lstStyle/>
                  <a:p>
                    <a:pPr>
                      <a:defRPr lang="zh-CN" sz="865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15015</a:t>
                    </a:r>
                    <a:endParaRPr lang="en-US" altLang="en-US"/>
                  </a:p>
                </c:rich>
              </c:tx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770712909441233"/>
                  <c:y val="-0.0869565217391304"/>
                </c:manualLayout>
              </c:layout>
              <c:dLblPos val="ct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4432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86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视力</c:v>
                </c:pt>
                <c:pt idx="1">
                  <c:v>听力</c:v>
                </c:pt>
                <c:pt idx="2">
                  <c:v>言语</c:v>
                </c:pt>
                <c:pt idx="3">
                  <c:v>肢体</c:v>
                </c:pt>
                <c:pt idx="4">
                  <c:v>智力</c:v>
                </c:pt>
                <c:pt idx="5">
                  <c:v>精神</c:v>
                </c:pt>
                <c:pt idx="6">
                  <c:v>多重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13107</c:v>
                </c:pt>
                <c:pt idx="1">
                  <c:v>13097</c:v>
                </c:pt>
                <c:pt idx="2">
                  <c:v>525</c:v>
                </c:pt>
                <c:pt idx="3">
                  <c:v>66274</c:v>
                </c:pt>
                <c:pt idx="4">
                  <c:v>8738</c:v>
                </c:pt>
                <c:pt idx="5">
                  <c:v>15015</c:v>
                </c:pt>
                <c:pt idx="6">
                  <c:v>11616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rgbClr val="ED7D31"/>
            </a:solidFill>
            <a:ln w="24432">
              <a:noFill/>
            </a:ln>
          </c:spPr>
          <c:invertIfNegative val="false"/>
          <c:dLbls>
            <c:delete val="true"/>
          </c:dLbls>
          <c:cat>
            <c:strRef>
              <c:f>Sheet1!$A$2:$A$8</c:f>
              <c:strCache>
                <c:ptCount val="7"/>
                <c:pt idx="0">
                  <c:v>视力</c:v>
                </c:pt>
                <c:pt idx="1">
                  <c:v>听力</c:v>
                </c:pt>
                <c:pt idx="2">
                  <c:v>言语</c:v>
                </c:pt>
                <c:pt idx="3">
                  <c:v>肢体</c:v>
                </c:pt>
                <c:pt idx="4">
                  <c:v>智力</c:v>
                </c:pt>
                <c:pt idx="5">
                  <c:v>精神</c:v>
                </c:pt>
                <c:pt idx="6">
                  <c:v>多重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rgbClr val="A5A5A5"/>
            </a:solidFill>
            <a:ln w="24432">
              <a:noFill/>
            </a:ln>
          </c:spPr>
          <c:invertIfNegative val="false"/>
          <c:dLbls>
            <c:delete val="true"/>
          </c:dLbls>
          <c:cat>
            <c:strRef>
              <c:f>Sheet1!$A$2:$A$8</c:f>
              <c:strCache>
                <c:ptCount val="7"/>
                <c:pt idx="0">
                  <c:v>视力</c:v>
                </c:pt>
                <c:pt idx="1">
                  <c:v>听力</c:v>
                </c:pt>
                <c:pt idx="2">
                  <c:v>言语</c:v>
                </c:pt>
                <c:pt idx="3">
                  <c:v>肢体</c:v>
                </c:pt>
                <c:pt idx="4">
                  <c:v>智力</c:v>
                </c:pt>
                <c:pt idx="5">
                  <c:v>精神</c:v>
                </c:pt>
                <c:pt idx="6">
                  <c:v>多重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219"/>
        <c:overlap val="100"/>
        <c:axId val="626692096"/>
        <c:axId val="632092864"/>
      </c:barChart>
      <c:catAx>
        <c:axId val="62669209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162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86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2092864"/>
        <c:crosses val="autoZero"/>
        <c:auto val="true"/>
        <c:lblAlgn val="ctr"/>
        <c:lblOffset val="100"/>
        <c:noMultiLvlLbl val="false"/>
      </c:catAx>
      <c:valAx>
        <c:axId val="632092864"/>
        <c:scaling>
          <c:orientation val="minMax"/>
        </c:scaling>
        <c:delete val="false"/>
        <c:axPos val="l"/>
        <c:majorGridlines>
          <c:spPr>
            <a:ln w="9162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ln w="6108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true"/>
          <a:lstStyle/>
          <a:p>
            <a:pPr>
              <a:defRPr lang="zh-CN" sz="86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6692096"/>
        <c:crosses val="autoZero"/>
        <c:crossBetween val="between"/>
      </c:valAx>
      <c:spPr>
        <a:noFill/>
        <a:ln w="24432">
          <a:noFill/>
        </a:ln>
      </c:spPr>
    </c:plotArea>
    <c:plotVisOnly val="true"/>
    <c:dispBlanksAs val="gap"/>
    <c:showDLblsOverMax val="false"/>
  </c:chart>
  <c:spPr>
    <a:solidFill>
      <a:schemeClr val="bg1"/>
    </a:solidFill>
    <a:ln w="9162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true"/>
    <c:plotArea>
      <c:layout/>
      <c:pieChart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人</c:v>
                </c:pt>
              </c:strCache>
            </c:strRef>
          </c:tx>
          <c:explosion val="0"/>
          <c:dPt>
            <c:idx val="0"/>
            <c:bubble3D val="false"/>
            <c:spPr>
              <a:solidFill>
                <a:schemeClr val="accent1"/>
              </a:solidFill>
              <a:ln w="19007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07">
                <a:solidFill>
                  <a:schemeClr val="lt1"/>
                </a:solidFill>
              </a:ln>
              <a:effectLst/>
            </c:spPr>
          </c:dPt>
          <c:dPt>
            <c:idx val="2"/>
            <c:bubble3D val="false"/>
            <c:spPr>
              <a:solidFill>
                <a:schemeClr val="accent3"/>
              </a:solidFill>
              <a:ln w="19007">
                <a:solidFill>
                  <a:schemeClr val="lt1"/>
                </a:solidFill>
              </a:ln>
              <a:effectLst/>
            </c:spPr>
          </c:dPt>
          <c:dPt>
            <c:idx val="3"/>
            <c:bubble3D val="false"/>
            <c:spPr>
              <a:solidFill>
                <a:schemeClr val="accent4"/>
              </a:solidFill>
              <a:ln w="19007">
                <a:solidFill>
                  <a:schemeClr val="lt1"/>
                </a:solidFill>
              </a:ln>
              <a:effectLst/>
            </c:spPr>
          </c:dPt>
          <c:dPt>
            <c:idx val="4"/>
            <c:bubble3D val="false"/>
            <c:spPr>
              <a:solidFill>
                <a:schemeClr val="accent5"/>
              </a:solidFill>
              <a:ln w="19007">
                <a:solidFill>
                  <a:schemeClr val="lt1"/>
                </a:solidFill>
              </a:ln>
              <a:effectLst/>
            </c:spPr>
          </c:dPt>
          <c:dPt>
            <c:idx val="5"/>
            <c:bubble3D val="false"/>
            <c:spPr>
              <a:solidFill>
                <a:schemeClr val="accent6"/>
              </a:solidFill>
              <a:ln w="19007">
                <a:solidFill>
                  <a:schemeClr val="lt1"/>
                </a:solidFill>
              </a:ln>
              <a:effectLst/>
            </c:spPr>
          </c:dPt>
          <c:dPt>
            <c:idx val="6"/>
            <c:bubble3D val="false"/>
            <c:spPr>
              <a:solidFill>
                <a:schemeClr val="accent1">
                  <a:lumMod val="60000"/>
                </a:schemeClr>
              </a:solidFill>
              <a:ln w="19007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0517723790847739"/>
                  <c:y val="-0.00127929709184201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92983986580239"/>
                  <c:y val="-0.0209347574010771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0698709898390227"/>
                      <c:h val="0.082288228822882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0225593549894215"/>
                  <c:y val="-0.0452310868464345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76022400483467"/>
                  <c:y val="0.00795107953589997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>
                    <c:manualLayout>
                      <c:w val="0.0659892681812992"/>
                      <c:h val="0.0638063806380638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000513023392335277"/>
                  <c:y val="-0.0268755074680413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870900648615648"/>
                  <c:y val="-0.0363664139505782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43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04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按比例就业</c:v>
                </c:pt>
                <c:pt idx="1">
                  <c:v>集中就业</c:v>
                </c:pt>
                <c:pt idx="2">
                  <c:v>个体就业</c:v>
                </c:pt>
                <c:pt idx="3">
                  <c:v>公益性岗位就业</c:v>
                </c:pt>
                <c:pt idx="4">
                  <c:v>辅助性就业</c:v>
                </c:pt>
                <c:pt idx="5">
                  <c:v>灵活就业</c:v>
                </c:pt>
                <c:pt idx="6">
                  <c:v>从事农业种养加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6549</c:v>
                </c:pt>
                <c:pt idx="1">
                  <c:v>1791</c:v>
                </c:pt>
                <c:pt idx="2">
                  <c:v>14561</c:v>
                </c:pt>
                <c:pt idx="3">
                  <c:v>3082</c:v>
                </c:pt>
                <c:pt idx="4">
                  <c:v>3069</c:v>
                </c:pt>
                <c:pt idx="5">
                  <c:v>72675</c:v>
                </c:pt>
                <c:pt idx="6">
                  <c:v>161795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0493506493506493"/>
          <c:y val="0.898843930635838"/>
          <c:w val="0.9"/>
          <c:h val="0.069364161849711"/>
        </c:manualLayout>
      </c:layout>
      <c:overlay val="false"/>
      <c:spPr>
        <a:noFill/>
        <a:ln w="25343">
          <a:noFill/>
        </a:ln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04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true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false"/>
      </a:gradFill>
      <a:gradFill rotWithShape="true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false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true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false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true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false"/>
      </a:gradFill>
      <a:gradFill rotWithShape="true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false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true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false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2106</Characters>
  <Lines>17</Lines>
  <Paragraphs>4</Paragraphs>
  <TotalTime>16</TotalTime>
  <ScaleCrop>false</ScaleCrop>
  <LinksUpToDate>false</LinksUpToDate>
  <CharactersWithSpaces>2471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2023-04-17T11:46:00Z</dcterms:created>
  <dc:creator>ZY</dc:creator>
  <cp:lastModifiedBy>uos</cp:lastModifiedBy>
  <cp:lastPrinted>2023-04-28T09:54:04Z</cp:lastPrinted>
  <dcterms:modified xsi:type="dcterms:W3CDTF">2023-04-28T09:56:34Z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